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23" w:rsidRPr="00C36891" w:rsidRDefault="00863C23" w:rsidP="00863C23">
      <w:pPr>
        <w:jc w:val="right"/>
        <w:rPr>
          <w:rFonts w:ascii="Arial" w:hAnsi="Arial" w:cs="Arial"/>
          <w:sz w:val="52"/>
        </w:rPr>
      </w:pPr>
      <w:r w:rsidRPr="00C36891">
        <w:rPr>
          <w:rFonts w:ascii="Arial" w:hAnsi="Arial" w:cs="Arial"/>
          <w:b/>
          <w:bCs/>
          <w:sz w:val="28"/>
        </w:rPr>
        <w:t>Report No.</w:t>
      </w:r>
      <w:r w:rsidRPr="00C36891">
        <w:rPr>
          <w:rFonts w:ascii="Arial" w:hAnsi="Arial" w:cs="Arial"/>
          <w:sz w:val="52"/>
        </w:rPr>
        <w:t xml:space="preserve"> </w:t>
      </w:r>
      <w:r w:rsidR="002509A6">
        <w:rPr>
          <w:rFonts w:ascii="Arial" w:hAnsi="Arial" w:cs="Arial"/>
          <w:b/>
          <w:sz w:val="52"/>
        </w:rPr>
        <w:t>04</w:t>
      </w:r>
      <w:r w:rsidRPr="00C36891">
        <w:rPr>
          <w:rFonts w:ascii="Arial" w:hAnsi="Arial" w:cs="Arial"/>
          <w:b/>
          <w:bCs/>
          <w:sz w:val="52"/>
        </w:rPr>
        <w:t>/11</w:t>
      </w:r>
    </w:p>
    <w:p w:rsidR="00863C23" w:rsidRPr="00C36891" w:rsidRDefault="00863C23" w:rsidP="00863C23">
      <w:pPr>
        <w:pStyle w:val="Report-Committee"/>
        <w:rPr>
          <w:rFonts w:ascii="Arial" w:hAnsi="Arial" w:cs="Arial"/>
        </w:rPr>
      </w:pPr>
      <w:r w:rsidRPr="00C36891">
        <w:rPr>
          <w:rFonts w:ascii="Arial" w:hAnsi="Arial" w:cs="Arial"/>
        </w:rPr>
        <w:tab/>
      </w:r>
      <w:r w:rsidR="007627BB" w:rsidRPr="00C36891">
        <w:rPr>
          <w:rFonts w:ascii="Arial" w:hAnsi="Arial" w:cs="Arial"/>
        </w:rPr>
        <w:t>Recreation and Tourism</w:t>
      </w:r>
      <w:r w:rsidRPr="00C36891">
        <w:rPr>
          <w:rFonts w:ascii="Arial" w:hAnsi="Arial" w:cs="Arial"/>
        </w:rPr>
        <w:t xml:space="preserve"> Review Committee</w:t>
      </w:r>
    </w:p>
    <w:p w:rsidR="00863C23" w:rsidRPr="00C36891" w:rsidRDefault="00863C23" w:rsidP="00863C23">
      <w:pPr>
        <w:jc w:val="right"/>
        <w:rPr>
          <w:rFonts w:ascii="Arial" w:hAnsi="Arial" w:cs="Arial"/>
        </w:rPr>
      </w:pPr>
    </w:p>
    <w:p w:rsidR="00863C23" w:rsidRPr="00C36891" w:rsidRDefault="00863C23" w:rsidP="00863C23">
      <w:pPr>
        <w:rPr>
          <w:rFonts w:ascii="Arial" w:hAnsi="Arial" w:cs="Arial"/>
        </w:rPr>
      </w:pPr>
    </w:p>
    <w:p w:rsidR="00EC0EDE" w:rsidRPr="00C36891" w:rsidRDefault="00EC0EDE" w:rsidP="00EC0EDE">
      <w:pPr>
        <w:pStyle w:val="Heading2"/>
        <w:jc w:val="center"/>
        <w:rPr>
          <w:rFonts w:ascii="Arial" w:hAnsi="Arial" w:cs="Arial"/>
          <w:u w:val="none"/>
        </w:rPr>
      </w:pPr>
      <w:r w:rsidRPr="00C36891">
        <w:rPr>
          <w:rFonts w:ascii="Arial" w:hAnsi="Arial" w:cs="Arial"/>
          <w:u w:val="none"/>
        </w:rPr>
        <w:t>REPORT OF THE HEAD OF BUSINESS MANAGEMENT</w:t>
      </w:r>
    </w:p>
    <w:p w:rsidR="00EC0EDE" w:rsidRPr="00C36891" w:rsidRDefault="00EC0EDE" w:rsidP="00EC0EDE">
      <w:pPr>
        <w:rPr>
          <w:rFonts w:ascii="Arial" w:hAnsi="Arial" w:cs="Arial"/>
        </w:rPr>
      </w:pPr>
    </w:p>
    <w:p w:rsidR="00EC0EDE" w:rsidRPr="00C36891" w:rsidRDefault="00E574D2" w:rsidP="00EC0E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z-index:251660288" from="1pt,3.05pt" to="439.05pt,3.1pt" o:allowincell="f" strokeweight="1pt">
            <v:stroke startarrowwidth="narrow" startarrowlength="short" endarrowwidth="narrow" endarrowlength="short"/>
          </v:line>
        </w:pict>
      </w:r>
    </w:p>
    <w:p w:rsidR="00EC0EDE" w:rsidRPr="00C36891" w:rsidRDefault="00EC0EDE" w:rsidP="00EC0EDE">
      <w:pPr>
        <w:rPr>
          <w:rFonts w:ascii="Arial" w:hAnsi="Arial" w:cs="Arial"/>
          <w:b/>
          <w:bCs/>
        </w:rPr>
      </w:pPr>
      <w:r w:rsidRPr="00C36891">
        <w:rPr>
          <w:rFonts w:ascii="Arial" w:hAnsi="Arial" w:cs="Arial"/>
          <w:b/>
          <w:bCs/>
        </w:rPr>
        <w:t xml:space="preserve">SUBJECT: </w:t>
      </w:r>
    </w:p>
    <w:p w:rsidR="00EC0EDE" w:rsidRPr="00C36891" w:rsidRDefault="00EC0EDE" w:rsidP="00EC0EDE">
      <w:pPr>
        <w:rPr>
          <w:rFonts w:ascii="Arial" w:hAnsi="Arial" w:cs="Arial"/>
          <w:b/>
        </w:rPr>
      </w:pPr>
      <w:r w:rsidRPr="00C36891">
        <w:rPr>
          <w:rFonts w:ascii="Arial" w:hAnsi="Arial" w:cs="Arial"/>
          <w:b/>
        </w:rPr>
        <w:t xml:space="preserve">PERFORMANCE REPORT FOR THE </w:t>
      </w:r>
      <w:r w:rsidR="00A305EE">
        <w:rPr>
          <w:rFonts w:ascii="Arial" w:hAnsi="Arial" w:cs="Arial"/>
          <w:b/>
        </w:rPr>
        <w:t>SECOND</w:t>
      </w:r>
      <w:r w:rsidRPr="00C36891">
        <w:rPr>
          <w:rFonts w:ascii="Arial" w:hAnsi="Arial" w:cs="Arial"/>
          <w:b/>
        </w:rPr>
        <w:t xml:space="preserve"> QUARTER OF THE YEAR 2011/12</w:t>
      </w:r>
    </w:p>
    <w:p w:rsidR="00EC0EDE" w:rsidRPr="00C36891" w:rsidRDefault="00EC0EDE" w:rsidP="00EC0EDE">
      <w:pPr>
        <w:rPr>
          <w:rFonts w:ascii="Arial" w:hAnsi="Arial" w:cs="Arial"/>
        </w:rPr>
      </w:pPr>
    </w:p>
    <w:p w:rsidR="00EC0EDE" w:rsidRPr="00C36891" w:rsidRDefault="00EC0EDE" w:rsidP="00EC0EDE">
      <w:pPr>
        <w:rPr>
          <w:rFonts w:ascii="Arial" w:hAnsi="Arial" w:cs="Arial"/>
          <w:u w:val="single"/>
        </w:rPr>
      </w:pPr>
      <w:r w:rsidRPr="00C36891">
        <w:rPr>
          <w:rFonts w:ascii="Arial" w:hAnsi="Arial" w:cs="Arial"/>
          <w:u w:val="single"/>
        </w:rPr>
        <w:t>Introduction</w:t>
      </w:r>
    </w:p>
    <w:p w:rsidR="00EE5E1B" w:rsidRPr="00C36891" w:rsidRDefault="00EE5E1B" w:rsidP="00EC0EDE">
      <w:pPr>
        <w:rPr>
          <w:rFonts w:ascii="Arial" w:hAnsi="Arial" w:cs="Arial"/>
          <w:u w:val="single"/>
        </w:rPr>
      </w:pPr>
    </w:p>
    <w:p w:rsidR="00EE5E1B" w:rsidRPr="00C36891" w:rsidRDefault="00E91443" w:rsidP="00EE5E1B">
      <w:pPr>
        <w:rPr>
          <w:rFonts w:ascii="Arial" w:hAnsi="Arial" w:cs="Arial"/>
        </w:rPr>
      </w:pPr>
      <w:r w:rsidRPr="00C36891">
        <w:rPr>
          <w:rFonts w:ascii="Arial" w:hAnsi="Arial" w:cs="Arial"/>
        </w:rPr>
        <w:t>This performance report presents the progress during the quarter for the key actions and success measures set out in the Corporate Strategy</w:t>
      </w:r>
      <w:r w:rsidR="002C11FA">
        <w:rPr>
          <w:rFonts w:ascii="Arial" w:hAnsi="Arial" w:cs="Arial"/>
        </w:rPr>
        <w:t xml:space="preserve"> outcomes 2 </w:t>
      </w:r>
      <w:r w:rsidR="002E2440">
        <w:rPr>
          <w:rFonts w:ascii="Arial" w:hAnsi="Arial" w:cs="Arial"/>
        </w:rPr>
        <w:t>and 6</w:t>
      </w:r>
      <w:r w:rsidR="002C11FA">
        <w:rPr>
          <w:rFonts w:ascii="Arial" w:hAnsi="Arial" w:cs="Arial"/>
        </w:rPr>
        <w:t>.</w:t>
      </w:r>
    </w:p>
    <w:p w:rsidR="008F6519" w:rsidRPr="00C36891" w:rsidRDefault="008F6519">
      <w:pPr>
        <w:rPr>
          <w:rFonts w:ascii="Arial" w:hAnsi="Arial" w:cs="Arial"/>
        </w:rPr>
      </w:pPr>
    </w:p>
    <w:p w:rsidR="004630ED" w:rsidRPr="00C36891" w:rsidRDefault="004630ED">
      <w:pPr>
        <w:rPr>
          <w:rFonts w:ascii="Arial" w:hAnsi="Arial" w:cs="Arial"/>
        </w:rPr>
      </w:pPr>
    </w:p>
    <w:p w:rsidR="00FC3469" w:rsidRDefault="00E91443">
      <w:pPr>
        <w:rPr>
          <w:rFonts w:ascii="Arial" w:hAnsi="Arial" w:cs="Arial"/>
          <w:u w:val="single"/>
        </w:rPr>
      </w:pPr>
      <w:r w:rsidRPr="00C36891">
        <w:rPr>
          <w:rFonts w:ascii="Arial" w:hAnsi="Arial" w:cs="Arial"/>
          <w:u w:val="single"/>
        </w:rPr>
        <w:t>Outcome 2</w:t>
      </w:r>
      <w:r w:rsidR="002E2440" w:rsidRPr="002E2440">
        <w:rPr>
          <w:rFonts w:ascii="Arial" w:hAnsi="Arial" w:cs="Arial"/>
          <w:bCs/>
        </w:rPr>
        <w:t xml:space="preserve"> </w:t>
      </w:r>
      <w:r w:rsidR="002E2440">
        <w:rPr>
          <w:rFonts w:ascii="Arial" w:hAnsi="Arial" w:cs="Arial"/>
          <w:bCs/>
        </w:rPr>
        <w:t xml:space="preserve">- </w:t>
      </w:r>
      <w:r w:rsidR="002E2440" w:rsidRPr="00C36891">
        <w:rPr>
          <w:rFonts w:ascii="Arial" w:hAnsi="Arial" w:cs="Arial"/>
          <w:bCs/>
        </w:rPr>
        <w:t>Residents and visitors enjoy and appreciate the National Park</w:t>
      </w:r>
    </w:p>
    <w:p w:rsidR="002E2440" w:rsidRPr="002E2440" w:rsidRDefault="002E2440">
      <w:pPr>
        <w:rPr>
          <w:rFonts w:ascii="Arial" w:hAnsi="Arial" w:cs="Arial"/>
        </w:rPr>
      </w:pPr>
    </w:p>
    <w:p w:rsidR="00FC3469" w:rsidRPr="00C36891" w:rsidRDefault="00FC3469">
      <w:pPr>
        <w:rPr>
          <w:rFonts w:ascii="Arial" w:hAnsi="Arial" w:cs="Arial"/>
        </w:rPr>
      </w:pPr>
    </w:p>
    <w:p w:rsidR="004630ED" w:rsidRPr="00C36891" w:rsidRDefault="00B46C59">
      <w:pPr>
        <w:rPr>
          <w:rFonts w:ascii="Arial" w:hAnsi="Arial" w:cs="Arial"/>
        </w:rPr>
      </w:pPr>
      <w:r w:rsidRPr="00C36891">
        <w:rPr>
          <w:rFonts w:ascii="Arial" w:hAnsi="Arial" w:cs="Arial"/>
        </w:rPr>
        <w:t xml:space="preserve">The actions outlined in the strategy for this outcome and the progress to date </w:t>
      </w:r>
      <w:r w:rsidR="00421976" w:rsidRPr="00C36891">
        <w:rPr>
          <w:rFonts w:ascii="Arial" w:hAnsi="Arial" w:cs="Arial"/>
        </w:rPr>
        <w:t>is</w:t>
      </w:r>
      <w:r w:rsidRPr="00C36891">
        <w:rPr>
          <w:rFonts w:ascii="Arial" w:hAnsi="Arial" w:cs="Arial"/>
        </w:rPr>
        <w:t xml:space="preserve"> as follows.</w:t>
      </w:r>
    </w:p>
    <w:p w:rsidR="00B46C59" w:rsidRPr="00C36891" w:rsidRDefault="00B46C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3747"/>
      </w:tblGrid>
      <w:tr w:rsidR="00421976" w:rsidRPr="00C36891" w:rsidTr="00421976">
        <w:tc>
          <w:tcPr>
            <w:tcW w:w="4644" w:type="dxa"/>
          </w:tcPr>
          <w:p w:rsidR="00421976" w:rsidRPr="00C36891" w:rsidRDefault="0042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747" w:type="dxa"/>
          </w:tcPr>
          <w:p w:rsidR="00421976" w:rsidRPr="00C36891" w:rsidRDefault="0042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Maintain Coast Path, inland rights of way, other paths and sites; </w:t>
            </w:r>
          </w:p>
        </w:tc>
        <w:tc>
          <w:tcPr>
            <w:tcW w:w="3747" w:type="dxa"/>
          </w:tcPr>
          <w:p w:rsidR="00421976" w:rsidRPr="00C36891" w:rsidRDefault="002A2BFB" w:rsidP="00AA2486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Annual programme underway</w:t>
            </w:r>
            <w:r w:rsidR="006A4623">
              <w:rPr>
                <w:rFonts w:ascii="Arial" w:hAnsi="Arial" w:cs="Arial"/>
                <w:sz w:val="24"/>
                <w:szCs w:val="24"/>
              </w:rPr>
              <w:t>, on target and on budget</w:t>
            </w:r>
            <w:r w:rsidRPr="00C36891">
              <w:rPr>
                <w:rFonts w:ascii="Arial" w:hAnsi="Arial" w:cs="Arial"/>
                <w:sz w:val="24"/>
                <w:szCs w:val="24"/>
              </w:rPr>
              <w:t>.</w:t>
            </w:r>
            <w:r w:rsidR="006A4623">
              <w:rPr>
                <w:rFonts w:ascii="Arial" w:hAnsi="Arial" w:cs="Arial"/>
                <w:sz w:val="24"/>
                <w:szCs w:val="24"/>
              </w:rPr>
              <w:t xml:space="preserve"> Some concerns about longer term coast path funding.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3469" w:rsidRPr="00C36891" w:rsidTr="00421976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Develop website and other media</w:t>
            </w:r>
          </w:p>
        </w:tc>
        <w:tc>
          <w:tcPr>
            <w:tcW w:w="3747" w:type="dxa"/>
          </w:tcPr>
          <w:p w:rsidR="00FC3469" w:rsidRPr="00C36891" w:rsidRDefault="002A2BF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Little progress to date</w:t>
            </w:r>
            <w:r w:rsidR="00AA2486">
              <w:rPr>
                <w:rFonts w:ascii="Arial" w:hAnsi="Arial" w:cs="Arial"/>
                <w:sz w:val="24"/>
                <w:szCs w:val="24"/>
              </w:rPr>
              <w:t xml:space="preserve"> due to staff sickness.  Contract let to pilot use of ‘QR’ codes linking to videos on the web site for </w:t>
            </w:r>
            <w:r w:rsidR="003A57F4">
              <w:rPr>
                <w:rFonts w:ascii="Arial" w:hAnsi="Arial" w:cs="Arial"/>
                <w:sz w:val="24"/>
                <w:szCs w:val="24"/>
              </w:rPr>
              <w:t xml:space="preserve">RHS Cardiff </w:t>
            </w:r>
            <w:r w:rsidR="00AA2486">
              <w:rPr>
                <w:rFonts w:ascii="Arial" w:hAnsi="Arial" w:cs="Arial"/>
                <w:sz w:val="24"/>
                <w:szCs w:val="24"/>
              </w:rPr>
              <w:t xml:space="preserve">Garden Festival next </w:t>
            </w:r>
            <w:r w:rsidR="003A57F4">
              <w:rPr>
                <w:rFonts w:ascii="Arial" w:hAnsi="Arial" w:cs="Arial"/>
                <w:sz w:val="24"/>
                <w:szCs w:val="24"/>
              </w:rPr>
              <w:t>April.</w:t>
            </w:r>
          </w:p>
        </w:tc>
      </w:tr>
      <w:tr w:rsidR="00FC3469" w:rsidRPr="00C36891" w:rsidTr="00421976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Seek funding for second Preseli woodland multi-user network by 2013</w:t>
            </w:r>
          </w:p>
        </w:tc>
        <w:tc>
          <w:tcPr>
            <w:tcW w:w="3747" w:type="dxa"/>
          </w:tcPr>
          <w:p w:rsidR="00FC3469" w:rsidRPr="00C36891" w:rsidRDefault="002A2BFB" w:rsidP="00D13799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Monitoring impact and use on initial network.  </w:t>
            </w:r>
            <w:r w:rsidR="006A4623">
              <w:rPr>
                <w:rFonts w:ascii="Arial" w:hAnsi="Arial" w:cs="Arial"/>
                <w:sz w:val="24"/>
                <w:szCs w:val="24"/>
              </w:rPr>
              <w:t>No formal monitoring</w:t>
            </w:r>
            <w:r w:rsidR="00D13799">
              <w:rPr>
                <w:rFonts w:ascii="Arial" w:hAnsi="Arial" w:cs="Arial"/>
                <w:sz w:val="24"/>
                <w:szCs w:val="24"/>
              </w:rPr>
              <w:t xml:space="preserve"> in place</w:t>
            </w:r>
            <w:r w:rsidR="006A4623">
              <w:rPr>
                <w:rFonts w:ascii="Arial" w:hAnsi="Arial" w:cs="Arial"/>
                <w:sz w:val="24"/>
                <w:szCs w:val="24"/>
              </w:rPr>
              <w:t xml:space="preserve">, but </w:t>
            </w:r>
            <w:r w:rsidR="00D13799">
              <w:rPr>
                <w:rFonts w:ascii="Arial" w:hAnsi="Arial" w:cs="Arial"/>
                <w:sz w:val="24"/>
                <w:szCs w:val="24"/>
              </w:rPr>
              <w:t xml:space="preserve">seems </w:t>
            </w:r>
            <w:r w:rsidR="006A4623">
              <w:rPr>
                <w:rFonts w:ascii="Arial" w:hAnsi="Arial" w:cs="Arial"/>
                <w:sz w:val="24"/>
                <w:szCs w:val="24"/>
              </w:rPr>
              <w:t>fairly</w:t>
            </w:r>
            <w:r w:rsidR="00D13799">
              <w:rPr>
                <w:rFonts w:ascii="Arial" w:hAnsi="Arial" w:cs="Arial"/>
                <w:sz w:val="24"/>
                <w:szCs w:val="24"/>
              </w:rPr>
              <w:t xml:space="preserve"> well used and recently recognised with British Horse Society award</w:t>
            </w:r>
            <w:r w:rsidR="006A46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3469" w:rsidRPr="00C36891" w:rsidTr="00421976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Negotiate a revised PROW delegation agreement with PCC;</w:t>
            </w:r>
          </w:p>
        </w:tc>
        <w:tc>
          <w:tcPr>
            <w:tcW w:w="3747" w:type="dxa"/>
          </w:tcPr>
          <w:p w:rsidR="00FC3469" w:rsidRPr="00C36891" w:rsidRDefault="002A2BF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Discussions on proposed changes underway with PCC</w:t>
            </w:r>
            <w:r w:rsidR="006A4623">
              <w:rPr>
                <w:rFonts w:ascii="Arial" w:hAnsi="Arial" w:cs="Arial"/>
                <w:sz w:val="24"/>
                <w:szCs w:val="24"/>
              </w:rPr>
              <w:t>, but limited progress due to staff sickness.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Develop good practice agreements with divers, </w:t>
            </w:r>
            <w:proofErr w:type="spellStart"/>
            <w:r w:rsidRPr="00C36891">
              <w:rPr>
                <w:rFonts w:ascii="Arial" w:hAnsi="Arial" w:cs="Arial"/>
                <w:bCs/>
                <w:sz w:val="24"/>
                <w:szCs w:val="24"/>
              </w:rPr>
              <w:t>coasteering</w:t>
            </w:r>
            <w:proofErr w:type="spellEnd"/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 groups and cliff anglers using the approach developed through the outdoor charter and marine code;</w:t>
            </w:r>
          </w:p>
        </w:tc>
        <w:tc>
          <w:tcPr>
            <w:tcW w:w="3747" w:type="dxa"/>
          </w:tcPr>
          <w:p w:rsidR="00421976" w:rsidRPr="00C36891" w:rsidRDefault="002A2BFB" w:rsidP="006A4623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Meeting with diving groups </w:t>
            </w:r>
            <w:r w:rsidR="006A4623">
              <w:rPr>
                <w:rFonts w:ascii="Arial" w:hAnsi="Arial" w:cs="Arial"/>
                <w:sz w:val="24"/>
                <w:szCs w:val="24"/>
              </w:rPr>
              <w:t>held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in September</w:t>
            </w:r>
            <w:r w:rsidR="006A4623">
              <w:rPr>
                <w:rFonts w:ascii="Arial" w:hAnsi="Arial" w:cs="Arial"/>
                <w:sz w:val="24"/>
                <w:szCs w:val="24"/>
              </w:rPr>
              <w:t xml:space="preserve"> – 53 attended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C36891">
              <w:rPr>
                <w:rFonts w:ascii="Arial" w:hAnsi="Arial" w:cs="Arial"/>
                <w:sz w:val="24"/>
                <w:szCs w:val="24"/>
              </w:rPr>
              <w:t>Coasteering</w:t>
            </w:r>
            <w:proofErr w:type="spellEnd"/>
            <w:r w:rsidRPr="00C36891">
              <w:rPr>
                <w:rFonts w:ascii="Arial" w:hAnsi="Arial" w:cs="Arial"/>
                <w:sz w:val="24"/>
                <w:szCs w:val="24"/>
              </w:rPr>
              <w:t xml:space="preserve"> code of </w:t>
            </w:r>
            <w:r w:rsidR="006A4623">
              <w:rPr>
                <w:rFonts w:ascii="Arial" w:hAnsi="Arial" w:cs="Arial"/>
                <w:sz w:val="24"/>
                <w:szCs w:val="24"/>
              </w:rPr>
              <w:t>practice &amp; zoning being consulted on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with local groups</w:t>
            </w:r>
            <w:r w:rsidR="006A4623">
              <w:rPr>
                <w:rFonts w:ascii="Arial" w:hAnsi="Arial" w:cs="Arial"/>
                <w:sz w:val="24"/>
                <w:szCs w:val="24"/>
              </w:rPr>
              <w:t xml:space="preserve"> and on Recreation Audit website.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623">
              <w:rPr>
                <w:rFonts w:ascii="Arial" w:hAnsi="Arial" w:cs="Arial"/>
                <w:sz w:val="24"/>
                <w:szCs w:val="24"/>
              </w:rPr>
              <w:t>C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ontributions </w:t>
            </w:r>
            <w:r w:rsidR="006A4623">
              <w:rPr>
                <w:rFonts w:ascii="Arial" w:hAnsi="Arial" w:cs="Arial"/>
                <w:sz w:val="24"/>
                <w:szCs w:val="24"/>
              </w:rPr>
              <w:lastRenderedPageBreak/>
              <w:t xml:space="preserve">being made </w:t>
            </w:r>
            <w:r w:rsidRPr="00C36891">
              <w:rPr>
                <w:rFonts w:ascii="Arial" w:hAnsi="Arial" w:cs="Arial"/>
                <w:sz w:val="24"/>
                <w:szCs w:val="24"/>
              </w:rPr>
              <w:t>to National Code.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Submit a Big Lottery bid to extend the approach taken in the GO4IT experiment park wide</w:t>
            </w:r>
          </w:p>
        </w:tc>
        <w:tc>
          <w:tcPr>
            <w:tcW w:w="3747" w:type="dxa"/>
          </w:tcPr>
          <w:p w:rsidR="00421976" w:rsidRPr="00C36891" w:rsidRDefault="002A2BFB" w:rsidP="002A2BF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Bid submitted but no decision expected before late 2011</w:t>
            </w:r>
            <w:r w:rsidR="006A4623">
              <w:rPr>
                <w:rFonts w:ascii="Arial" w:hAnsi="Arial" w:cs="Arial"/>
                <w:sz w:val="24"/>
                <w:szCs w:val="24"/>
              </w:rPr>
              <w:t>.  Some further information has been provided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Republish easy access guide and put Coast Path easy access guide onto website</w:t>
            </w:r>
          </w:p>
        </w:tc>
        <w:tc>
          <w:tcPr>
            <w:tcW w:w="3747" w:type="dxa"/>
          </w:tcPr>
          <w:p w:rsidR="00421976" w:rsidRPr="00C36891" w:rsidRDefault="002A2BFB" w:rsidP="008F77FF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Easy Access Guide substantially revised and now </w:t>
            </w:r>
            <w:r w:rsidR="008F77FF">
              <w:rPr>
                <w:rFonts w:ascii="Arial" w:hAnsi="Arial" w:cs="Arial"/>
                <w:sz w:val="24"/>
                <w:szCs w:val="24"/>
              </w:rPr>
              <w:t>being printed</w:t>
            </w:r>
            <w:r w:rsidRPr="00C36891">
              <w:rPr>
                <w:rFonts w:ascii="Arial" w:hAnsi="Arial" w:cs="Arial"/>
                <w:sz w:val="24"/>
                <w:szCs w:val="24"/>
              </w:rPr>
              <w:t>.  Coast Path guide being developed</w:t>
            </w:r>
            <w:r w:rsidR="008F77FF">
              <w:rPr>
                <w:rFonts w:ascii="Arial" w:hAnsi="Arial" w:cs="Arial"/>
                <w:sz w:val="24"/>
                <w:szCs w:val="24"/>
              </w:rPr>
              <w:t xml:space="preserve"> for website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Support Bluestone Walking Festival</w:t>
            </w:r>
          </w:p>
        </w:tc>
        <w:tc>
          <w:tcPr>
            <w:tcW w:w="3747" w:type="dxa"/>
          </w:tcPr>
          <w:p w:rsidR="00421976" w:rsidRPr="00C36891" w:rsidRDefault="002A2BF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PCNPA contribution </w:t>
            </w:r>
            <w:r w:rsidR="00B3658E">
              <w:rPr>
                <w:rFonts w:ascii="Arial" w:hAnsi="Arial" w:cs="Arial"/>
                <w:sz w:val="24"/>
                <w:szCs w:val="24"/>
              </w:rPr>
              <w:t xml:space="preserve">successfully </w:t>
            </w:r>
            <w:r w:rsidRPr="00C36891">
              <w:rPr>
                <w:rFonts w:ascii="Arial" w:hAnsi="Arial" w:cs="Arial"/>
                <w:sz w:val="24"/>
                <w:szCs w:val="24"/>
              </w:rPr>
              <w:t>completed</w:t>
            </w:r>
            <w:r w:rsidR="00B3658E">
              <w:rPr>
                <w:rFonts w:ascii="Arial" w:hAnsi="Arial" w:cs="Arial"/>
                <w:sz w:val="24"/>
                <w:szCs w:val="24"/>
              </w:rPr>
              <w:t>, although event was limited.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Provide and promote well managed circular walking opportunities within 500m of 45 of the biggest 50 settlements in the park.</w:t>
            </w:r>
          </w:p>
        </w:tc>
        <w:tc>
          <w:tcPr>
            <w:tcW w:w="3747" w:type="dxa"/>
          </w:tcPr>
          <w:p w:rsidR="00421976" w:rsidRPr="00C36891" w:rsidRDefault="002A2AE9" w:rsidP="008F77FF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In progress with </w:t>
            </w:r>
            <w:r w:rsidR="008F77FF">
              <w:rPr>
                <w:rFonts w:ascii="Arial" w:hAnsi="Arial" w:cs="Arial"/>
                <w:sz w:val="24"/>
                <w:szCs w:val="24"/>
              </w:rPr>
              <w:t>over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 40 circular walks either completed or being developed</w:t>
            </w:r>
          </w:p>
        </w:tc>
      </w:tr>
      <w:tr w:rsidR="00421976" w:rsidRPr="00C36891" w:rsidTr="00421976">
        <w:tc>
          <w:tcPr>
            <w:tcW w:w="4644" w:type="dxa"/>
          </w:tcPr>
          <w:p w:rsidR="00421976" w:rsidRPr="00C36891" w:rsidRDefault="00FC3469" w:rsidP="00FC346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Adopt and commence implementation of Recreation Strategy</w:t>
            </w:r>
          </w:p>
        </w:tc>
        <w:tc>
          <w:tcPr>
            <w:tcW w:w="3747" w:type="dxa"/>
          </w:tcPr>
          <w:p w:rsidR="00421976" w:rsidRPr="00C36891" w:rsidRDefault="002A2AE9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Strategy adopted and launch opportunity being investigated</w:t>
            </w:r>
          </w:p>
        </w:tc>
      </w:tr>
    </w:tbl>
    <w:p w:rsidR="00B46C59" w:rsidRPr="00C36891" w:rsidRDefault="00B46C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3747"/>
      </w:tblGrid>
      <w:tr w:rsidR="00CA1E8C" w:rsidRPr="00C36891" w:rsidTr="007627BB">
        <w:tc>
          <w:tcPr>
            <w:tcW w:w="4644" w:type="dxa"/>
          </w:tcPr>
          <w:p w:rsidR="00CA1E8C" w:rsidRPr="00C36891" w:rsidRDefault="00CA1E8C" w:rsidP="007627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Success Measure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There is an increasing trend in the number of people using the rights of way and other paths;</w:t>
            </w:r>
          </w:p>
        </w:tc>
        <w:tc>
          <w:tcPr>
            <w:tcW w:w="3747" w:type="dxa"/>
          </w:tcPr>
          <w:p w:rsidR="00CA1E8C" w:rsidRPr="00C36891" w:rsidRDefault="008F77FF" w:rsidP="0076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 with similar period last year shows an 8% reduction on Coast Path walkers</w:t>
            </w:r>
            <w:r w:rsidR="00F05221">
              <w:rPr>
                <w:rFonts w:ascii="Arial" w:hAnsi="Arial" w:cs="Arial"/>
                <w:sz w:val="24"/>
                <w:szCs w:val="24"/>
              </w:rPr>
              <w:t xml:space="preserve"> although an 18% increase on inland paths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The length of public rights of way in use exceeds 85% (Welsh average about 60%)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87% </w:t>
            </w:r>
            <w:proofErr w:type="gramStart"/>
            <w:r w:rsidRPr="00C36891">
              <w:rPr>
                <w:rFonts w:ascii="Arial" w:hAnsi="Arial" w:cs="Arial"/>
                <w:sz w:val="24"/>
                <w:szCs w:val="24"/>
              </w:rPr>
              <w:t>last  year</w:t>
            </w:r>
            <w:proofErr w:type="gramEnd"/>
            <w:r w:rsidR="00A014CC">
              <w:rPr>
                <w:rFonts w:ascii="Arial" w:hAnsi="Arial" w:cs="Arial"/>
                <w:sz w:val="24"/>
                <w:szCs w:val="24"/>
              </w:rPr>
              <w:t>, - no decrease so far this year with potential for minor increase during winter maintenance work.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F0522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The current lengths of Coast Path suitable for a variety of less able access is maintained at 130 km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Exceeds 130 km</w:t>
            </w:r>
            <w:r w:rsidR="00B36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The performance of walking opportunities as perceived by visitors is maintained – (survey in 2008 scored 4.75 out of 5)</w:t>
            </w:r>
          </w:p>
        </w:tc>
        <w:tc>
          <w:tcPr>
            <w:tcW w:w="3747" w:type="dxa"/>
          </w:tcPr>
          <w:p w:rsidR="00CA1E8C" w:rsidRPr="00C36891" w:rsidRDefault="00CA1E8C" w:rsidP="008F77FF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New year round survey in partnership with PCC</w:t>
            </w:r>
            <w:r w:rsidR="008F77FF">
              <w:rPr>
                <w:rFonts w:ascii="Arial" w:hAnsi="Arial" w:cs="Arial"/>
                <w:sz w:val="24"/>
                <w:szCs w:val="24"/>
              </w:rPr>
              <w:t xml:space="preserve"> underway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14CC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Pr="00C36891">
              <w:rPr>
                <w:rFonts w:ascii="Arial" w:hAnsi="Arial" w:cs="Arial"/>
                <w:sz w:val="24"/>
                <w:szCs w:val="24"/>
              </w:rPr>
              <w:t>results due later in the year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Number of downloads of promoted walks on website increases</w:t>
            </w:r>
          </w:p>
        </w:tc>
        <w:tc>
          <w:tcPr>
            <w:tcW w:w="3747" w:type="dxa"/>
          </w:tcPr>
          <w:p w:rsidR="00CA1E8C" w:rsidRPr="00C36891" w:rsidRDefault="00CA1E8C" w:rsidP="00E56D17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E56D17">
              <w:rPr>
                <w:rFonts w:ascii="Arial" w:hAnsi="Arial" w:cs="Arial"/>
                <w:sz w:val="24"/>
                <w:szCs w:val="24"/>
              </w:rPr>
              <w:t xml:space="preserve">collection and analysis 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E56D17">
              <w:rPr>
                <w:rFonts w:ascii="Arial" w:hAnsi="Arial" w:cs="Arial"/>
                <w:sz w:val="24"/>
                <w:szCs w:val="24"/>
              </w:rPr>
              <w:t>investigated.</w:t>
            </w:r>
          </w:p>
        </w:tc>
      </w:tr>
    </w:tbl>
    <w:p w:rsidR="00421976" w:rsidRPr="00C36891" w:rsidRDefault="00421976">
      <w:pPr>
        <w:rPr>
          <w:rFonts w:ascii="Arial" w:hAnsi="Arial" w:cs="Arial"/>
        </w:rPr>
      </w:pPr>
    </w:p>
    <w:p w:rsidR="00F05221" w:rsidRDefault="00F05221" w:rsidP="00F05221">
      <w:pPr>
        <w:rPr>
          <w:rFonts w:ascii="Arial" w:hAnsi="Arial" w:cs="Arial"/>
          <w:bCs/>
          <w:u w:val="single"/>
        </w:rPr>
      </w:pPr>
    </w:p>
    <w:p w:rsidR="00F05221" w:rsidRDefault="00F05221" w:rsidP="00F05221">
      <w:pPr>
        <w:rPr>
          <w:rFonts w:ascii="Arial" w:hAnsi="Arial" w:cs="Arial"/>
          <w:u w:val="single"/>
        </w:rPr>
      </w:pPr>
    </w:p>
    <w:p w:rsidR="00F05221" w:rsidRPr="00C36891" w:rsidRDefault="00FC3469" w:rsidP="00F05221">
      <w:pPr>
        <w:rPr>
          <w:rFonts w:ascii="Arial" w:hAnsi="Arial" w:cs="Arial"/>
        </w:rPr>
      </w:pPr>
      <w:r w:rsidRPr="00C36891">
        <w:rPr>
          <w:rFonts w:ascii="Arial" w:hAnsi="Arial" w:cs="Arial"/>
          <w:u w:val="single"/>
        </w:rPr>
        <w:t>Outcome 6</w:t>
      </w:r>
      <w:r w:rsidR="00F05221">
        <w:rPr>
          <w:rFonts w:ascii="Arial" w:hAnsi="Arial" w:cs="Arial"/>
        </w:rPr>
        <w:t xml:space="preserve"> - </w:t>
      </w:r>
      <w:r w:rsidR="00F05221" w:rsidRPr="00C36891">
        <w:rPr>
          <w:rFonts w:ascii="Arial" w:hAnsi="Arial" w:cs="Arial"/>
        </w:rPr>
        <w:t>Residents and Visitors from a wide range of backgrounds access opportunities for improved understanding about the National Park.</w:t>
      </w:r>
    </w:p>
    <w:p w:rsidR="00BA2E43" w:rsidRPr="00C36891" w:rsidRDefault="00BA2E43">
      <w:pPr>
        <w:rPr>
          <w:rFonts w:ascii="Arial" w:hAnsi="Arial" w:cs="Arial"/>
        </w:rPr>
      </w:pPr>
    </w:p>
    <w:p w:rsidR="00C859A9" w:rsidRPr="00C36891" w:rsidRDefault="00C859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3747"/>
      </w:tblGrid>
      <w:tr w:rsidR="00FC3469" w:rsidRPr="00C36891" w:rsidTr="002A2BFB">
        <w:tc>
          <w:tcPr>
            <w:tcW w:w="4644" w:type="dxa"/>
          </w:tcPr>
          <w:p w:rsidR="00FC3469" w:rsidRPr="00C36891" w:rsidRDefault="00FC3469" w:rsidP="002A2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747" w:type="dxa"/>
          </w:tcPr>
          <w:p w:rsidR="00FC3469" w:rsidRPr="00C36891" w:rsidRDefault="00FC3469" w:rsidP="002A2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Increase support for secondary </w:t>
            </w:r>
            <w:r w:rsidRPr="00C368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schools to engage with NP</w:t>
            </w:r>
          </w:p>
        </w:tc>
        <w:tc>
          <w:tcPr>
            <w:tcW w:w="3747" w:type="dxa"/>
          </w:tcPr>
          <w:p w:rsidR="00FC3469" w:rsidRPr="00C36891" w:rsidRDefault="00F746D2" w:rsidP="0042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25ED0">
              <w:rPr>
                <w:rFonts w:ascii="Arial" w:hAnsi="Arial" w:cs="Arial"/>
                <w:sz w:val="24"/>
                <w:szCs w:val="24"/>
              </w:rPr>
              <w:t xml:space="preserve">23 secondary schools have engaged with the NP so far this </w:t>
            </w:r>
            <w:r w:rsidR="00425ED0">
              <w:rPr>
                <w:rFonts w:ascii="Arial" w:hAnsi="Arial" w:cs="Arial"/>
                <w:sz w:val="24"/>
                <w:szCs w:val="24"/>
              </w:rPr>
              <w:lastRenderedPageBreak/>
              <w:t>year involving 683 pupils (same period last year was 20 schools and 582 pupils).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Develop links with Pembrokeshire, Ceredigion and Carmarthenshire schools</w:t>
            </w:r>
          </w:p>
        </w:tc>
        <w:tc>
          <w:tcPr>
            <w:tcW w:w="3747" w:type="dxa"/>
          </w:tcPr>
          <w:p w:rsidR="00FC3469" w:rsidRPr="00C36891" w:rsidRDefault="00BA3980" w:rsidP="002A2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schools from Ceredigion and 24 from Carmarthenshire have attended events at Castell Henllys so far this year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Participate in MOSAIC project</w:t>
            </w:r>
          </w:p>
        </w:tc>
        <w:tc>
          <w:tcPr>
            <w:tcW w:w="3747" w:type="dxa"/>
          </w:tcPr>
          <w:p w:rsidR="00FC3469" w:rsidRPr="00C36891" w:rsidRDefault="007507C6" w:rsidP="00F746D2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CNP led project with funding now secured. </w:t>
            </w:r>
            <w:r w:rsidR="002A2AE9" w:rsidRPr="00C36891">
              <w:rPr>
                <w:rFonts w:ascii="Arial" w:hAnsi="Arial" w:cs="Arial"/>
                <w:sz w:val="24"/>
                <w:szCs w:val="24"/>
              </w:rPr>
              <w:t xml:space="preserve">All 3 Parks </w:t>
            </w:r>
            <w:r w:rsidRPr="00C36891">
              <w:rPr>
                <w:rFonts w:ascii="Arial" w:hAnsi="Arial" w:cs="Arial"/>
                <w:sz w:val="24"/>
                <w:szCs w:val="24"/>
              </w:rPr>
              <w:t xml:space="preserve">involved.  </w:t>
            </w:r>
            <w:r w:rsidR="00F746D2">
              <w:rPr>
                <w:rFonts w:ascii="Arial" w:hAnsi="Arial" w:cs="Arial"/>
                <w:sz w:val="24"/>
                <w:szCs w:val="24"/>
              </w:rPr>
              <w:t>Project leader now appointed.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Develop in service training for teachers</w:t>
            </w:r>
          </w:p>
        </w:tc>
        <w:tc>
          <w:tcPr>
            <w:tcW w:w="3747" w:type="dxa"/>
          </w:tcPr>
          <w:p w:rsidR="00FC3469" w:rsidRPr="00C36891" w:rsidRDefault="002A2AE9" w:rsidP="002A2BF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400 teachers involved in eleven sessions</w:t>
            </w:r>
            <w:r w:rsidR="00425ED0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425ED0">
              <w:rPr>
                <w:rFonts w:ascii="Arial" w:hAnsi="Arial" w:cs="Arial"/>
                <w:sz w:val="24"/>
                <w:szCs w:val="24"/>
              </w:rPr>
              <w:t>Pembs</w:t>
            </w:r>
            <w:proofErr w:type="spellEnd"/>
            <w:r w:rsidR="00425ED0">
              <w:rPr>
                <w:rFonts w:ascii="Arial" w:hAnsi="Arial" w:cs="Arial"/>
                <w:sz w:val="24"/>
                <w:szCs w:val="24"/>
              </w:rPr>
              <w:t xml:space="preserve"> and 118 student teachers at Trinity College Carmarthen</w:t>
            </w:r>
            <w:r w:rsidR="00F746D2">
              <w:rPr>
                <w:rFonts w:ascii="Arial" w:hAnsi="Arial" w:cs="Arial"/>
                <w:sz w:val="24"/>
                <w:szCs w:val="24"/>
              </w:rPr>
              <w:t xml:space="preserve"> – project completed for this year.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Increase publicity for NPA activities and events</w:t>
            </w:r>
          </w:p>
        </w:tc>
        <w:tc>
          <w:tcPr>
            <w:tcW w:w="3747" w:type="dxa"/>
          </w:tcPr>
          <w:p w:rsidR="00FC3469" w:rsidRPr="00C36891" w:rsidRDefault="00581C2D" w:rsidP="002A2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in the number of events but an i</w:t>
            </w:r>
            <w:r w:rsidR="00F746D2">
              <w:rPr>
                <w:rFonts w:ascii="Arial" w:hAnsi="Arial" w:cs="Arial"/>
                <w:sz w:val="24"/>
                <w:szCs w:val="24"/>
              </w:rPr>
              <w:t>ncrease in the number of participants per event</w:t>
            </w:r>
          </w:p>
        </w:tc>
      </w:tr>
      <w:tr w:rsidR="00FC3469" w:rsidRPr="00C36891" w:rsidTr="002A2BFB">
        <w:tc>
          <w:tcPr>
            <w:tcW w:w="4644" w:type="dxa"/>
          </w:tcPr>
          <w:p w:rsidR="00FC3469" w:rsidRPr="00C36891" w:rsidRDefault="00FC3469" w:rsidP="00FC34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Standardise collection, evaluation and recording of information across the National Park</w:t>
            </w:r>
          </w:p>
        </w:tc>
        <w:tc>
          <w:tcPr>
            <w:tcW w:w="3747" w:type="dxa"/>
          </w:tcPr>
          <w:p w:rsidR="00FC3469" w:rsidRPr="00C36891" w:rsidRDefault="002A2AE9" w:rsidP="00440CE9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 xml:space="preserve">Redesign of data collection and database </w:t>
            </w:r>
            <w:r w:rsidR="00440CE9">
              <w:rPr>
                <w:rFonts w:ascii="Arial" w:hAnsi="Arial" w:cs="Arial"/>
                <w:sz w:val="24"/>
                <w:szCs w:val="24"/>
              </w:rPr>
              <w:t>underway</w:t>
            </w:r>
            <w:r w:rsidRPr="00C368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C3469" w:rsidRPr="00C36891" w:rsidRDefault="00FC3469">
      <w:pPr>
        <w:rPr>
          <w:rFonts w:ascii="Arial" w:hAnsi="Arial" w:cs="Arial"/>
        </w:rPr>
      </w:pPr>
    </w:p>
    <w:p w:rsidR="00C859A9" w:rsidRPr="00C36891" w:rsidRDefault="00C859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3747"/>
      </w:tblGrid>
      <w:tr w:rsidR="00CA1E8C" w:rsidRPr="00C36891" w:rsidTr="007627BB">
        <w:tc>
          <w:tcPr>
            <w:tcW w:w="4644" w:type="dxa"/>
          </w:tcPr>
          <w:p w:rsidR="00CA1E8C" w:rsidRPr="00C36891" w:rsidRDefault="00CA1E8C" w:rsidP="007627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Success Measure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891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75% of people surveyed display an improved understanding of the National Park following an organised event;</w:t>
            </w:r>
          </w:p>
        </w:tc>
        <w:tc>
          <w:tcPr>
            <w:tcW w:w="3747" w:type="dxa"/>
          </w:tcPr>
          <w:p w:rsidR="00CA1E8C" w:rsidRPr="00C36891" w:rsidRDefault="00CA1E8C" w:rsidP="00A014CC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Data collected</w:t>
            </w:r>
            <w:r w:rsidR="00A014CC">
              <w:rPr>
                <w:rFonts w:ascii="Arial" w:hAnsi="Arial" w:cs="Arial"/>
                <w:sz w:val="24"/>
                <w:szCs w:val="24"/>
              </w:rPr>
              <w:t xml:space="preserve"> dur</w:t>
            </w:r>
            <w:r w:rsidR="00440CE9">
              <w:rPr>
                <w:rFonts w:ascii="Arial" w:hAnsi="Arial" w:cs="Arial"/>
                <w:sz w:val="24"/>
                <w:szCs w:val="24"/>
              </w:rPr>
              <w:t xml:space="preserve">ing summer season and analysed </w:t>
            </w:r>
            <w:r w:rsidR="00A014CC">
              <w:rPr>
                <w:rFonts w:ascii="Arial" w:hAnsi="Arial" w:cs="Arial"/>
                <w:sz w:val="24"/>
                <w:szCs w:val="24"/>
              </w:rPr>
              <w:t>during winter.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Increasing trend in the number of hits on the National Park Authority web site;</w:t>
            </w:r>
          </w:p>
        </w:tc>
        <w:tc>
          <w:tcPr>
            <w:tcW w:w="3747" w:type="dxa"/>
          </w:tcPr>
          <w:p w:rsidR="00CA1E8C" w:rsidRPr="00C36891" w:rsidRDefault="00E56D17" w:rsidP="00D13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have been 90,000 visits to the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E8C" w:rsidRPr="00E56D17">
              <w:rPr>
                <w:rFonts w:ascii="Arial" w:hAnsi="Arial" w:cs="Arial"/>
                <w:sz w:val="24"/>
                <w:szCs w:val="24"/>
              </w:rPr>
              <w:t>web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 xml:space="preserve"> site, </w:t>
            </w:r>
            <w:r w:rsidR="00440CE9">
              <w:rPr>
                <w:rFonts w:ascii="Arial" w:hAnsi="Arial" w:cs="Arial"/>
                <w:sz w:val="24"/>
                <w:szCs w:val="24"/>
              </w:rPr>
              <w:t>(150,000 in 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last year).  </w:t>
            </w:r>
            <w:proofErr w:type="spellStart"/>
            <w:r w:rsidR="00CA1E8C" w:rsidRPr="00C36891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="00B32F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now has </w:t>
            </w:r>
            <w:r w:rsidR="00B32F79">
              <w:rPr>
                <w:rFonts w:ascii="Arial" w:hAnsi="Arial" w:cs="Arial"/>
                <w:sz w:val="24"/>
                <w:szCs w:val="24"/>
              </w:rPr>
              <w:t>2,778 followers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B3E">
              <w:rPr>
                <w:rFonts w:ascii="Arial" w:hAnsi="Arial" w:cs="Arial"/>
                <w:sz w:val="24"/>
                <w:szCs w:val="24"/>
              </w:rPr>
              <w:t>(</w:t>
            </w:r>
            <w:r w:rsidR="00B32F79">
              <w:rPr>
                <w:rFonts w:ascii="Arial" w:hAnsi="Arial" w:cs="Arial"/>
              </w:rPr>
              <w:t>2,046</w:t>
            </w:r>
            <w:r w:rsidR="00FC7B3E" w:rsidRPr="00CC022D">
              <w:rPr>
                <w:rFonts w:ascii="Arial" w:hAnsi="Arial" w:cs="Arial"/>
              </w:rPr>
              <w:t xml:space="preserve"> </w:t>
            </w:r>
            <w:r w:rsidR="00B32F79">
              <w:rPr>
                <w:rFonts w:ascii="Arial" w:hAnsi="Arial" w:cs="Arial"/>
              </w:rPr>
              <w:t>in April), and</w:t>
            </w:r>
            <w:r w:rsidR="00FC7B3E" w:rsidRPr="00CC022D">
              <w:rPr>
                <w:rFonts w:ascii="Arial" w:hAnsi="Arial" w:cs="Arial"/>
              </w:rPr>
              <w:t xml:space="preserve"> </w:t>
            </w:r>
            <w:r w:rsidR="00FC7B3E">
              <w:rPr>
                <w:rFonts w:ascii="Arial" w:hAnsi="Arial" w:cs="Arial"/>
                <w:sz w:val="24"/>
                <w:szCs w:val="24"/>
              </w:rPr>
              <w:t>15</w:t>
            </w:r>
            <w:r w:rsidR="00D13799">
              <w:rPr>
                <w:rFonts w:ascii="Arial" w:hAnsi="Arial" w:cs="Arial"/>
                <w:sz w:val="24"/>
                <w:szCs w:val="24"/>
              </w:rPr>
              <w:t>11</w:t>
            </w:r>
            <w:r w:rsidR="00FC7B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 xml:space="preserve">Twitter </w:t>
            </w:r>
            <w:r w:rsidR="00FC7B3E">
              <w:rPr>
                <w:rFonts w:ascii="Arial" w:hAnsi="Arial" w:cs="Arial"/>
                <w:sz w:val="24"/>
                <w:szCs w:val="24"/>
              </w:rPr>
              <w:t>followers (791 in April)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Over 260,000 people make use of our centres each year </w:t>
            </w:r>
          </w:p>
        </w:tc>
        <w:tc>
          <w:tcPr>
            <w:tcW w:w="3747" w:type="dxa"/>
          </w:tcPr>
          <w:p w:rsidR="00CA1E8C" w:rsidRPr="00C36891" w:rsidRDefault="00FB6C59" w:rsidP="0076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221,023 visitors to the centres to end of October (219,079 same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period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last year). 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 xml:space="preserve">Visitors to all centres except Newport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Tenby </w:t>
            </w:r>
            <w:r w:rsidR="00CA1E8C" w:rsidRPr="00C36891">
              <w:rPr>
                <w:rFonts w:ascii="Arial" w:hAnsi="Arial" w:cs="Arial"/>
                <w:sz w:val="24"/>
                <w:szCs w:val="24"/>
              </w:rPr>
              <w:t>have increased compared to the same period last year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At least 75% of school groups feedback an inspiration score of 10 or higher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t>Data being collected, but initial indications exceed 80%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t>We have maintained the numbers of agreements we have with business (</w:t>
            </w:r>
            <w:proofErr w:type="spellStart"/>
            <w:r w:rsidRPr="00C36891">
              <w:rPr>
                <w:rFonts w:ascii="Arial" w:hAnsi="Arial" w:cs="Arial"/>
                <w:bCs/>
                <w:sz w:val="24"/>
                <w:szCs w:val="24"/>
              </w:rPr>
              <w:t>eg</w:t>
            </w:r>
            <w:proofErr w:type="spellEnd"/>
            <w:r w:rsidRPr="00C36891">
              <w:rPr>
                <w:rFonts w:ascii="Arial" w:hAnsi="Arial" w:cs="Arial"/>
                <w:bCs/>
                <w:sz w:val="24"/>
                <w:szCs w:val="24"/>
              </w:rPr>
              <w:t xml:space="preserve"> Outdoor Charter, Bourne Leisure ranger etc) that help provide training </w:t>
            </w:r>
            <w:r w:rsidRPr="00C368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for businesses to help pass on understanding to their clients</w:t>
            </w:r>
          </w:p>
        </w:tc>
        <w:tc>
          <w:tcPr>
            <w:tcW w:w="3747" w:type="dxa"/>
          </w:tcPr>
          <w:p w:rsidR="00CA1E8C" w:rsidRPr="00C36891" w:rsidRDefault="00CA1E8C" w:rsidP="007627BB">
            <w:pPr>
              <w:rPr>
                <w:rFonts w:ascii="Arial" w:hAnsi="Arial" w:cs="Arial"/>
                <w:sz w:val="24"/>
                <w:szCs w:val="24"/>
              </w:rPr>
            </w:pPr>
            <w:r w:rsidRPr="00C36891">
              <w:rPr>
                <w:rFonts w:ascii="Arial" w:hAnsi="Arial" w:cs="Arial"/>
                <w:sz w:val="24"/>
                <w:szCs w:val="24"/>
              </w:rPr>
              <w:lastRenderedPageBreak/>
              <w:t>Data not yet available</w:t>
            </w:r>
          </w:p>
        </w:tc>
      </w:tr>
      <w:tr w:rsidR="00CA1E8C" w:rsidRPr="00C36891" w:rsidTr="007627BB">
        <w:tc>
          <w:tcPr>
            <w:tcW w:w="4644" w:type="dxa"/>
          </w:tcPr>
          <w:p w:rsidR="00CA1E8C" w:rsidRPr="00C36891" w:rsidRDefault="00CA1E8C" w:rsidP="00CA1E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68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We increase the number of ‘hard to reach’ participants taking part in our events and activities from 1,800 a year to 2,000.</w:t>
            </w:r>
          </w:p>
        </w:tc>
        <w:tc>
          <w:tcPr>
            <w:tcW w:w="3747" w:type="dxa"/>
          </w:tcPr>
          <w:p w:rsidR="00CA1E8C" w:rsidRPr="00C36891" w:rsidRDefault="005717EE" w:rsidP="00762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date 2090 attendees at 133 events (last year 1647 at 88 events in same period)</w:t>
            </w:r>
          </w:p>
        </w:tc>
      </w:tr>
    </w:tbl>
    <w:p w:rsidR="005208D4" w:rsidRPr="00C36891" w:rsidRDefault="005208D4">
      <w:pPr>
        <w:rPr>
          <w:rFonts w:ascii="Arial" w:hAnsi="Arial" w:cs="Arial"/>
          <w:u w:val="single"/>
        </w:rPr>
      </w:pPr>
    </w:p>
    <w:p w:rsidR="005208D4" w:rsidRPr="00C36891" w:rsidRDefault="005208D4">
      <w:pPr>
        <w:rPr>
          <w:rFonts w:ascii="Arial" w:hAnsi="Arial" w:cs="Arial"/>
          <w:u w:val="single"/>
        </w:rPr>
      </w:pPr>
    </w:p>
    <w:p w:rsidR="003D55B2" w:rsidRPr="00C36891" w:rsidRDefault="003D55B2">
      <w:pPr>
        <w:rPr>
          <w:rFonts w:ascii="Arial" w:hAnsi="Arial" w:cs="Arial"/>
        </w:rPr>
      </w:pPr>
    </w:p>
    <w:p w:rsidR="003D55B2" w:rsidRPr="00C36891" w:rsidRDefault="003D55B2">
      <w:pPr>
        <w:rPr>
          <w:rFonts w:ascii="Arial" w:hAnsi="Arial" w:cs="Arial"/>
        </w:rPr>
      </w:pPr>
    </w:p>
    <w:p w:rsidR="002752B2" w:rsidRPr="00C36891" w:rsidRDefault="002752B2">
      <w:pPr>
        <w:rPr>
          <w:rFonts w:ascii="Arial" w:hAnsi="Arial" w:cs="Arial"/>
        </w:rPr>
      </w:pPr>
    </w:p>
    <w:p w:rsidR="0091325A" w:rsidRPr="00C36891" w:rsidRDefault="0091325A">
      <w:pPr>
        <w:rPr>
          <w:rFonts w:ascii="Arial" w:hAnsi="Arial" w:cs="Arial"/>
        </w:rPr>
      </w:pPr>
    </w:p>
    <w:p w:rsidR="0091325A" w:rsidRPr="00C36891" w:rsidRDefault="0091325A">
      <w:pPr>
        <w:rPr>
          <w:rFonts w:ascii="Arial" w:hAnsi="Arial" w:cs="Arial"/>
        </w:rPr>
      </w:pPr>
    </w:p>
    <w:p w:rsidR="0091325A" w:rsidRPr="00C36891" w:rsidRDefault="0091325A">
      <w:pPr>
        <w:rPr>
          <w:rFonts w:ascii="Arial" w:hAnsi="Arial" w:cs="Arial"/>
        </w:rPr>
      </w:pPr>
    </w:p>
    <w:p w:rsidR="0091325A" w:rsidRPr="00C36891" w:rsidRDefault="0091325A" w:rsidP="0091325A">
      <w:pPr>
        <w:jc w:val="both"/>
        <w:rPr>
          <w:rFonts w:ascii="Arial" w:hAnsi="Arial" w:cs="Arial"/>
          <w:b/>
        </w:rPr>
      </w:pPr>
      <w:r w:rsidRPr="00C36891">
        <w:rPr>
          <w:rFonts w:ascii="Arial" w:hAnsi="Arial" w:cs="Arial"/>
          <w:i/>
          <w:iCs/>
          <w:sz w:val="20"/>
        </w:rPr>
        <w:t xml:space="preserve">(For further information contact </w:t>
      </w:r>
      <w:smartTag w:uri="urn:schemas-microsoft-com:office:smarttags" w:element="PersonName">
        <w:r w:rsidRPr="00C36891">
          <w:rPr>
            <w:rFonts w:ascii="Arial" w:hAnsi="Arial" w:cs="Arial"/>
            <w:i/>
            <w:iCs/>
            <w:sz w:val="20"/>
          </w:rPr>
          <w:t>Alan Hare</w:t>
        </w:r>
      </w:smartTag>
      <w:r w:rsidRPr="00C36891">
        <w:rPr>
          <w:rFonts w:ascii="Arial" w:hAnsi="Arial" w:cs="Arial"/>
          <w:i/>
          <w:iCs/>
          <w:sz w:val="20"/>
        </w:rPr>
        <w:t xml:space="preserve"> – Head of Business Management on ext 4810)</w:t>
      </w:r>
    </w:p>
    <w:p w:rsidR="0091325A" w:rsidRPr="00C36891" w:rsidRDefault="0091325A">
      <w:pPr>
        <w:rPr>
          <w:rFonts w:ascii="Arial" w:hAnsi="Arial" w:cs="Arial"/>
        </w:rPr>
      </w:pPr>
    </w:p>
    <w:sectPr w:rsidR="0091325A" w:rsidRPr="00C36891" w:rsidSect="0043081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80" w:rsidRDefault="00BA3980" w:rsidP="00D70080">
      <w:r>
        <w:separator/>
      </w:r>
    </w:p>
  </w:endnote>
  <w:endnote w:type="continuationSeparator" w:id="0">
    <w:p w:rsidR="00BA3980" w:rsidRDefault="00BA3980" w:rsidP="00D7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80" w:rsidRDefault="00BA3980" w:rsidP="00D70080">
    <w:pPr>
      <w:pStyle w:val="Report-Footer"/>
      <w:rPr>
        <w:color w:val="333333"/>
      </w:rPr>
    </w:pPr>
  </w:p>
  <w:p w:rsidR="00BA3980" w:rsidRPr="00D42E12" w:rsidRDefault="00BA3980" w:rsidP="00D70080">
    <w:pPr>
      <w:pStyle w:val="Report-Footer"/>
      <w:rPr>
        <w:rFonts w:ascii="Arial" w:hAnsi="Arial" w:cs="Arial"/>
        <w:color w:val="333333"/>
        <w:sz w:val="24"/>
        <w:szCs w:val="24"/>
      </w:rPr>
    </w:pPr>
    <w:r w:rsidRPr="00D42E12">
      <w:rPr>
        <w:rFonts w:ascii="Arial" w:hAnsi="Arial" w:cs="Arial"/>
        <w:color w:val="333333"/>
        <w:sz w:val="24"/>
        <w:szCs w:val="24"/>
      </w:rPr>
      <w:t>Pembrokeshire Coast N</w:t>
    </w:r>
    <w:r>
      <w:rPr>
        <w:rFonts w:ascii="Arial" w:hAnsi="Arial" w:cs="Arial"/>
        <w:color w:val="333333"/>
        <w:sz w:val="24"/>
        <w:szCs w:val="24"/>
      </w:rPr>
      <w:t>ational Park Authority</w:t>
    </w:r>
    <w:r w:rsidRPr="00D42E12">
      <w:rPr>
        <w:rFonts w:ascii="Arial" w:hAnsi="Arial" w:cs="Arial"/>
        <w:color w:val="333333"/>
        <w:sz w:val="24"/>
        <w:szCs w:val="24"/>
      </w:rPr>
      <w:tab/>
    </w:r>
  </w:p>
  <w:p w:rsidR="00BA3980" w:rsidRPr="00D70080" w:rsidRDefault="00BA3980" w:rsidP="00D70080">
    <w:pPr>
      <w:pStyle w:val="Report-Footer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color w:val="333333"/>
        <w:sz w:val="24"/>
        <w:szCs w:val="24"/>
      </w:rPr>
      <w:t xml:space="preserve">Recreation and Tourism Review Committee </w:t>
    </w:r>
    <w:r w:rsidR="002509A6">
      <w:rPr>
        <w:rFonts w:ascii="Arial" w:hAnsi="Arial" w:cs="Arial"/>
        <w:color w:val="333333"/>
        <w:sz w:val="24"/>
        <w:szCs w:val="24"/>
      </w:rPr>
      <w:t>14</w:t>
    </w:r>
    <w:r w:rsidR="002509A6" w:rsidRPr="002509A6">
      <w:rPr>
        <w:rFonts w:ascii="Arial" w:hAnsi="Arial" w:cs="Arial"/>
        <w:color w:val="333333"/>
        <w:sz w:val="24"/>
        <w:szCs w:val="24"/>
        <w:vertAlign w:val="superscript"/>
      </w:rPr>
      <w:t>th</w:t>
    </w:r>
    <w:r w:rsidR="002509A6">
      <w:rPr>
        <w:rFonts w:ascii="Arial" w:hAnsi="Arial" w:cs="Arial"/>
        <w:color w:val="333333"/>
        <w:sz w:val="24"/>
        <w:szCs w:val="24"/>
      </w:rPr>
      <w:t xml:space="preserve"> December</w:t>
    </w:r>
    <w:r>
      <w:rPr>
        <w:rFonts w:ascii="Arial" w:hAnsi="Arial" w:cs="Arial"/>
        <w:color w:val="333333"/>
        <w:sz w:val="24"/>
        <w:szCs w:val="24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80" w:rsidRDefault="00BA3980" w:rsidP="00D70080">
      <w:r>
        <w:separator/>
      </w:r>
    </w:p>
  </w:footnote>
  <w:footnote w:type="continuationSeparator" w:id="0">
    <w:p w:rsidR="00BA3980" w:rsidRDefault="00BA3980" w:rsidP="00D7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CB0"/>
    <w:multiLevelType w:val="multilevel"/>
    <w:tmpl w:val="B6EAE4EC"/>
    <w:numStyleLink w:val="Style1"/>
  </w:abstractNum>
  <w:abstractNum w:abstractNumId="1">
    <w:nsid w:val="0E063A5F"/>
    <w:multiLevelType w:val="multilevel"/>
    <w:tmpl w:val="B6EAE4EC"/>
    <w:numStyleLink w:val="Style1"/>
  </w:abstractNum>
  <w:abstractNum w:abstractNumId="2">
    <w:nsid w:val="20A92B6E"/>
    <w:multiLevelType w:val="multilevel"/>
    <w:tmpl w:val="B6EAE4EC"/>
    <w:numStyleLink w:val="Style1"/>
  </w:abstractNum>
  <w:abstractNum w:abstractNumId="3">
    <w:nsid w:val="250B4869"/>
    <w:multiLevelType w:val="multilevel"/>
    <w:tmpl w:val="B6EAE4EC"/>
    <w:numStyleLink w:val="Style1"/>
  </w:abstractNum>
  <w:abstractNum w:abstractNumId="4">
    <w:nsid w:val="5E1648C6"/>
    <w:multiLevelType w:val="multilevel"/>
    <w:tmpl w:val="B6EAE4EC"/>
    <w:styleLink w:val="Sty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A1C18"/>
    <w:multiLevelType w:val="multilevel"/>
    <w:tmpl w:val="B6EAE4EC"/>
    <w:numStyleLink w:val="Style1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DE"/>
    <w:rsid w:val="000469F4"/>
    <w:rsid w:val="000576E6"/>
    <w:rsid w:val="000A3B42"/>
    <w:rsid w:val="000B5675"/>
    <w:rsid w:val="000F1780"/>
    <w:rsid w:val="00153B53"/>
    <w:rsid w:val="001E7353"/>
    <w:rsid w:val="0020732F"/>
    <w:rsid w:val="002116E8"/>
    <w:rsid w:val="00212E16"/>
    <w:rsid w:val="00241C00"/>
    <w:rsid w:val="002509A6"/>
    <w:rsid w:val="002752B2"/>
    <w:rsid w:val="00290AE6"/>
    <w:rsid w:val="002A2AE9"/>
    <w:rsid w:val="002A2BFB"/>
    <w:rsid w:val="002C11FA"/>
    <w:rsid w:val="002C1E98"/>
    <w:rsid w:val="002D6870"/>
    <w:rsid w:val="002E2440"/>
    <w:rsid w:val="003A57F4"/>
    <w:rsid w:val="003D55B2"/>
    <w:rsid w:val="003E5E2F"/>
    <w:rsid w:val="0040184D"/>
    <w:rsid w:val="00421976"/>
    <w:rsid w:val="00425ED0"/>
    <w:rsid w:val="00430812"/>
    <w:rsid w:val="00440CE9"/>
    <w:rsid w:val="0044171F"/>
    <w:rsid w:val="004630ED"/>
    <w:rsid w:val="00480919"/>
    <w:rsid w:val="004A234F"/>
    <w:rsid w:val="004F620F"/>
    <w:rsid w:val="005208D4"/>
    <w:rsid w:val="005717EE"/>
    <w:rsid w:val="00581C2D"/>
    <w:rsid w:val="0063174C"/>
    <w:rsid w:val="006823EF"/>
    <w:rsid w:val="006A4623"/>
    <w:rsid w:val="006D70B0"/>
    <w:rsid w:val="00720299"/>
    <w:rsid w:val="007479AB"/>
    <w:rsid w:val="007507C6"/>
    <w:rsid w:val="007627BB"/>
    <w:rsid w:val="008033D5"/>
    <w:rsid w:val="00833BD5"/>
    <w:rsid w:val="00863C23"/>
    <w:rsid w:val="0087783E"/>
    <w:rsid w:val="00877DB9"/>
    <w:rsid w:val="00891A57"/>
    <w:rsid w:val="008F6519"/>
    <w:rsid w:val="008F77FF"/>
    <w:rsid w:val="0091325A"/>
    <w:rsid w:val="00A014CC"/>
    <w:rsid w:val="00A305EE"/>
    <w:rsid w:val="00A50B43"/>
    <w:rsid w:val="00A97909"/>
    <w:rsid w:val="00AA2486"/>
    <w:rsid w:val="00B0770E"/>
    <w:rsid w:val="00B171E1"/>
    <w:rsid w:val="00B249EF"/>
    <w:rsid w:val="00B32F79"/>
    <w:rsid w:val="00B34CD5"/>
    <w:rsid w:val="00B3658E"/>
    <w:rsid w:val="00B42EE1"/>
    <w:rsid w:val="00B46C59"/>
    <w:rsid w:val="00BA2E43"/>
    <w:rsid w:val="00BA3980"/>
    <w:rsid w:val="00BA3F38"/>
    <w:rsid w:val="00BA67E0"/>
    <w:rsid w:val="00C36891"/>
    <w:rsid w:val="00C859A9"/>
    <w:rsid w:val="00CA1E8C"/>
    <w:rsid w:val="00D13799"/>
    <w:rsid w:val="00D33DAB"/>
    <w:rsid w:val="00D70080"/>
    <w:rsid w:val="00DC4B58"/>
    <w:rsid w:val="00E56D17"/>
    <w:rsid w:val="00E574D2"/>
    <w:rsid w:val="00E675A9"/>
    <w:rsid w:val="00E91443"/>
    <w:rsid w:val="00E96980"/>
    <w:rsid w:val="00EC0EDE"/>
    <w:rsid w:val="00EE5E1B"/>
    <w:rsid w:val="00F05221"/>
    <w:rsid w:val="00F4618C"/>
    <w:rsid w:val="00F746D2"/>
    <w:rsid w:val="00FA3B02"/>
    <w:rsid w:val="00FB6C59"/>
    <w:rsid w:val="00FC3469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0EDE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ED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5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46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B46C5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02"/>
    <w:rPr>
      <w:rFonts w:ascii="Tahoma" w:eastAsia="Times New Roman" w:hAnsi="Tahoma" w:cs="Tahoma"/>
      <w:sz w:val="16"/>
      <w:szCs w:val="16"/>
    </w:rPr>
  </w:style>
  <w:style w:type="paragraph" w:customStyle="1" w:styleId="Report-Committee">
    <w:name w:val="Report - Committee"/>
    <w:basedOn w:val="Normal"/>
    <w:rsid w:val="00863C23"/>
    <w:pPr>
      <w:jc w:val="right"/>
    </w:pPr>
    <w:rPr>
      <w:b/>
      <w:bCs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0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80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Footer">
    <w:name w:val="Report - Footer"/>
    <w:basedOn w:val="Normal"/>
    <w:rsid w:val="00D70080"/>
    <w:pPr>
      <w:tabs>
        <w:tab w:val="right" w:pos="8306"/>
        <w:tab w:val="right" w:pos="9540"/>
      </w:tabs>
    </w:pPr>
    <w:rPr>
      <w:snapToGrid w:val="0"/>
      <w:color w:val="999999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A304-3535-4AC2-A51F-3F56ED76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alanh</dc:creator>
  <cp:keywords/>
  <dc:description/>
  <cp:lastModifiedBy> Caroline Llewellyn</cp:lastModifiedBy>
  <cp:revision>11</cp:revision>
  <cp:lastPrinted>2011-12-07T10:16:00Z</cp:lastPrinted>
  <dcterms:created xsi:type="dcterms:W3CDTF">2011-11-16T17:29:00Z</dcterms:created>
  <dcterms:modified xsi:type="dcterms:W3CDTF">2011-12-07T10:16:00Z</dcterms:modified>
</cp:coreProperties>
</file>