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A8" w:rsidRPr="00C920D1" w:rsidRDefault="00C920D1" w:rsidP="00C920D1">
      <w:pPr>
        <w:spacing w:line="240" w:lineRule="auto"/>
        <w:jc w:val="center"/>
        <w:rPr>
          <w:rFonts w:ascii="Verdana" w:eastAsia="Verdana" w:hAnsi="Verdana" w:cs="Verdana"/>
          <w:b/>
          <w:bCs/>
          <w:lang w:val="cy-GB"/>
        </w:rPr>
      </w:pPr>
      <w:r w:rsidRPr="00C920D1">
        <w:rPr>
          <w:rFonts w:ascii="Verdana" w:eastAsia="Verdana" w:hAnsi="Verdana" w:cs="Verdana"/>
          <w:b/>
          <w:bCs/>
          <w:lang w:val="cy-GB"/>
        </w:rPr>
        <w:t>Cyfarfod Cyn-Gwrandawiad 7 Mai 2019 11.00am</w:t>
      </w:r>
    </w:p>
    <w:p w:rsidR="002D1DA8" w:rsidRDefault="00C920D1" w:rsidP="00C920D1">
      <w:pPr>
        <w:spacing w:line="240" w:lineRule="auto"/>
        <w:jc w:val="center"/>
        <w:rPr>
          <w:rFonts w:ascii="Verdana" w:eastAsia="Verdana" w:hAnsi="Verdana" w:cs="Verdana"/>
          <w:b/>
          <w:bCs/>
          <w:lang w:val="cy-GB"/>
        </w:rPr>
      </w:pPr>
      <w:r w:rsidRPr="00C920D1">
        <w:rPr>
          <w:rFonts w:ascii="Verdana" w:eastAsia="Verdana" w:hAnsi="Verdana" w:cs="Verdana"/>
          <w:b/>
          <w:bCs/>
          <w:lang w:val="cy-GB"/>
        </w:rPr>
        <w:t>Neuadd Pater, Dimond Street, Doc Penfro, SA72 6DD</w:t>
      </w:r>
    </w:p>
    <w:p w:rsidR="00C920D1" w:rsidRPr="00155A1F" w:rsidRDefault="00C920D1" w:rsidP="00C920D1">
      <w:pPr>
        <w:spacing w:after="0" w:line="240" w:lineRule="auto"/>
        <w:jc w:val="center"/>
        <w:rPr>
          <w:rFonts w:ascii="Verdana" w:hAnsi="Verdana"/>
          <w:b/>
          <w:lang w:val="cy-GB"/>
        </w:rPr>
      </w:pPr>
    </w:p>
    <w:p w:rsidR="002D1DA8" w:rsidRPr="00155A1F" w:rsidRDefault="002D1DA8" w:rsidP="00C920D1">
      <w:pPr>
        <w:spacing w:line="360" w:lineRule="auto"/>
        <w:jc w:val="center"/>
        <w:rPr>
          <w:rFonts w:ascii="Verdana" w:hAnsi="Verdana"/>
          <w:b/>
          <w:lang w:val="cy-GB"/>
        </w:rPr>
      </w:pPr>
      <w:r w:rsidRPr="00155A1F">
        <w:rPr>
          <w:rFonts w:ascii="Verdana" w:hAnsi="Verdana"/>
          <w:b/>
          <w:lang w:val="cy-GB"/>
        </w:rPr>
        <w:t>AGENDA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Agor a Chyflwyniad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Diben </w:t>
      </w:r>
      <w:r w:rsidRPr="002D1DA8">
        <w:rPr>
          <w:rFonts w:ascii="Verdana" w:eastAsia="Verdana" w:hAnsi="Verdana" w:cs="Verdana"/>
          <w:bCs/>
          <w:lang w:val="cy-GB"/>
        </w:rPr>
        <w:t xml:space="preserve">y Cyfarfod Cyn-Gwrandawiad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Rôl </w:t>
      </w:r>
      <w:r w:rsidRPr="002D1DA8">
        <w:rPr>
          <w:rFonts w:ascii="Verdana" w:eastAsia="Verdana" w:hAnsi="Verdana" w:cs="Verdana"/>
          <w:bCs/>
          <w:lang w:val="cy-GB"/>
        </w:rPr>
        <w:t>y Swyddog Rhaglen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Cwmpas </w:t>
      </w:r>
      <w:r w:rsidRPr="002D1DA8">
        <w:rPr>
          <w:rFonts w:ascii="Verdana" w:eastAsia="Verdana" w:hAnsi="Verdana" w:cs="Verdana"/>
          <w:bCs/>
          <w:lang w:val="cy-GB"/>
        </w:rPr>
        <w:t>yr Archwiliad a rôl yr Arolygydd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eastAsia="Verdana" w:hAnsi="Verdana" w:cs="Verdana"/>
          <w:bCs/>
          <w:lang w:val="cy-GB"/>
        </w:rPr>
        <w:t>Cwestiynau</w:t>
      </w:r>
      <w:r w:rsidRPr="002D1DA8">
        <w:rPr>
          <w:rFonts w:ascii="Verdana" w:hAnsi="Verdana"/>
          <w:lang w:val="cy-GB"/>
        </w:rPr>
        <w:t xml:space="preserve"> </w:t>
      </w:r>
      <w:r w:rsidRPr="002D1DA8">
        <w:rPr>
          <w:rFonts w:ascii="Verdana" w:eastAsia="Verdana" w:hAnsi="Verdana" w:cs="Verdana"/>
          <w:bCs/>
          <w:lang w:val="cy-GB"/>
        </w:rPr>
        <w:t>o ran gweithdrefn i’r Awdurdod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Y sylwadau </w:t>
      </w:r>
      <w:r w:rsidRPr="002D1DA8">
        <w:rPr>
          <w:rFonts w:ascii="Verdana" w:eastAsia="Verdana" w:hAnsi="Verdana" w:cs="Verdana"/>
          <w:bCs/>
          <w:lang w:val="cy-GB"/>
        </w:rPr>
        <w:t>a wnaed ar y CDLl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Dulliau </w:t>
      </w:r>
      <w:r w:rsidRPr="002D1DA8">
        <w:rPr>
          <w:rFonts w:ascii="Verdana" w:eastAsia="Verdana" w:hAnsi="Verdana" w:cs="Verdana"/>
          <w:bCs/>
          <w:lang w:val="cy-GB"/>
        </w:rPr>
        <w:t>o ystyried y sylwadau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Y </w:t>
      </w:r>
      <w:r w:rsidRPr="002D1DA8">
        <w:rPr>
          <w:rFonts w:ascii="Verdana" w:eastAsia="Verdana" w:hAnsi="Verdana" w:cs="Verdana"/>
          <w:bCs/>
          <w:lang w:val="cy-GB"/>
        </w:rPr>
        <w:t>weithdrefn yn Sesiynau Gwrand</w:t>
      </w:r>
      <w:bookmarkStart w:id="0" w:name="_GoBack"/>
      <w:bookmarkEnd w:id="0"/>
      <w:r w:rsidRPr="002D1DA8">
        <w:rPr>
          <w:rFonts w:ascii="Verdana" w:eastAsia="Verdana" w:hAnsi="Verdana" w:cs="Verdana"/>
          <w:bCs/>
          <w:lang w:val="cy-GB"/>
        </w:rPr>
        <w:t xml:space="preserve">awiad yr Archwiliad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Rhaglen </w:t>
      </w:r>
      <w:r w:rsidRPr="002D1DA8">
        <w:rPr>
          <w:rFonts w:ascii="Verdana" w:eastAsia="Verdana" w:hAnsi="Verdana" w:cs="Verdana"/>
          <w:bCs/>
          <w:lang w:val="cy-GB"/>
        </w:rPr>
        <w:t>Gwrandawiadau’r Archwiliad gan gynnwys materion i'w trafod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Paratoi </w:t>
      </w:r>
      <w:r w:rsidRPr="002D1DA8">
        <w:rPr>
          <w:rFonts w:ascii="Verdana" w:eastAsia="Verdana" w:hAnsi="Verdana" w:cs="Verdana"/>
          <w:bCs/>
          <w:lang w:val="cy-GB"/>
        </w:rPr>
        <w:t>a chyflwyno deunydd pellach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eastAsia="Verdana" w:hAnsi="Verdana" w:cs="Verdana"/>
          <w:bCs/>
          <w:lang w:val="cy-GB"/>
        </w:rPr>
        <w:t xml:space="preserve">Y wybodaeth fydd ar gael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eastAsia="Verdana" w:hAnsi="Verdana" w:cs="Verdana"/>
          <w:bCs/>
          <w:lang w:val="cy-GB"/>
        </w:rPr>
        <w:t xml:space="preserve">Trefniadau ymweliad safle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Cau’r </w:t>
      </w:r>
      <w:r w:rsidRPr="002D1DA8">
        <w:rPr>
          <w:rFonts w:ascii="Verdana" w:eastAsia="Verdana" w:hAnsi="Verdana" w:cs="Verdana"/>
          <w:bCs/>
          <w:lang w:val="cy-GB"/>
        </w:rPr>
        <w:t>Archwiliad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eastAsia="Verdana" w:hAnsi="Verdana" w:cs="Verdana"/>
          <w:bCs/>
          <w:lang w:val="cy-GB"/>
        </w:rPr>
        <w:t>Cyflwyno Adroddiad yr Arolygydd</w:t>
      </w:r>
      <w:r w:rsidRPr="002D1DA8">
        <w:rPr>
          <w:rFonts w:ascii="Verdana" w:hAnsi="Verdana"/>
          <w:lang w:val="cy-GB"/>
        </w:rPr>
        <w:t xml:space="preserve"> </w:t>
      </w:r>
    </w:p>
    <w:p w:rsidR="002D1DA8" w:rsidRPr="002D1DA8" w:rsidRDefault="002D1DA8" w:rsidP="00C920D1">
      <w:pPr>
        <w:numPr>
          <w:ilvl w:val="0"/>
          <w:numId w:val="1"/>
        </w:numPr>
        <w:spacing w:after="0"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Cwestiynau </w:t>
      </w:r>
    </w:p>
    <w:p w:rsidR="002D1DA8" w:rsidRPr="002D1DA8" w:rsidRDefault="002D1DA8" w:rsidP="00C920D1">
      <w:pPr>
        <w:spacing w:line="360" w:lineRule="auto"/>
        <w:ind w:left="1077"/>
        <w:rPr>
          <w:rFonts w:ascii="Verdana" w:hAnsi="Verdana"/>
          <w:lang w:val="cy-GB"/>
        </w:rPr>
      </w:pPr>
      <w:r w:rsidRPr="002D1DA8">
        <w:rPr>
          <w:rFonts w:ascii="Verdana" w:hAnsi="Verdana"/>
          <w:lang w:val="cy-GB"/>
        </w:rPr>
        <w:t xml:space="preserve">Cau’r Cyfarfod </w:t>
      </w:r>
    </w:p>
    <w:p w:rsidR="002D1DA8" w:rsidRDefault="002D1DA8" w:rsidP="00C920D1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Pre-Hearing Meeting 7 May 2019 11.00am</w:t>
      </w:r>
    </w:p>
    <w:p w:rsidR="002D1DA8" w:rsidRDefault="002D1DA8" w:rsidP="00C920D1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Pater Hall, Dimond Street Pembroke Dock, SA72 6DD</w:t>
      </w:r>
    </w:p>
    <w:p w:rsidR="00C920D1" w:rsidRDefault="00C920D1" w:rsidP="00C920D1">
      <w:pPr>
        <w:spacing w:after="0" w:line="240" w:lineRule="auto"/>
        <w:jc w:val="center"/>
        <w:rPr>
          <w:rFonts w:ascii="Verdana" w:hAnsi="Verdana"/>
          <w:b/>
        </w:rPr>
      </w:pPr>
    </w:p>
    <w:p w:rsidR="002D1DA8" w:rsidRDefault="002D1DA8" w:rsidP="00C920D1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AGENDA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rPr>
          <w:rFonts w:ascii="Verdana" w:hAnsi="Verdana"/>
        </w:rPr>
      </w:pPr>
      <w:r w:rsidRPr="002D1DA8">
        <w:rPr>
          <w:rFonts w:ascii="Verdana" w:hAnsi="Verdana"/>
        </w:rPr>
        <w:t>Opening and Introduction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Purpose of Pre-Hearing Meeting (PHM)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Role of the Programme Officer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Scope of the Examination and role of the Inspector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Procedural questions for the Authority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Representations made on the LDP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Methods of considering representations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Procedure at Hearing Sessions of the Examination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Examination Hearings Programme including issues to be debated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Preparation and submission of further material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Availability of Information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Site visit arrangements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Close of the Examination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Submission of Inspectors’ Report</w:t>
      </w:r>
    </w:p>
    <w:p w:rsidR="002D1DA8" w:rsidRPr="002D1DA8" w:rsidRDefault="002D1DA8" w:rsidP="00C920D1">
      <w:pPr>
        <w:numPr>
          <w:ilvl w:val="0"/>
          <w:numId w:val="2"/>
        </w:numPr>
        <w:spacing w:after="0" w:line="360" w:lineRule="auto"/>
        <w:ind w:left="1077"/>
        <w:rPr>
          <w:rFonts w:ascii="Verdana" w:hAnsi="Verdana"/>
        </w:rPr>
      </w:pPr>
      <w:r w:rsidRPr="002D1DA8">
        <w:rPr>
          <w:rFonts w:ascii="Verdana" w:hAnsi="Verdana"/>
        </w:rPr>
        <w:t>Questions</w:t>
      </w:r>
    </w:p>
    <w:p w:rsidR="002D1DA8" w:rsidRDefault="002D1DA8" w:rsidP="00C920D1">
      <w:pPr>
        <w:spacing w:line="360" w:lineRule="auto"/>
        <w:ind w:left="1077"/>
      </w:pPr>
      <w:r w:rsidRPr="002D1DA8">
        <w:rPr>
          <w:rFonts w:ascii="Verdana" w:hAnsi="Verdana"/>
        </w:rPr>
        <w:t>Close of Meeting</w:t>
      </w:r>
    </w:p>
    <w:sectPr w:rsidR="002D1DA8" w:rsidSect="002D1DA8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F0600"/>
    <w:multiLevelType w:val="hybridMultilevel"/>
    <w:tmpl w:val="73A28802"/>
    <w:lvl w:ilvl="0" w:tplc="803634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DB692C"/>
    <w:multiLevelType w:val="hybridMultilevel"/>
    <w:tmpl w:val="73A28802"/>
    <w:lvl w:ilvl="0" w:tplc="803634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A8"/>
    <w:rsid w:val="002D1DA8"/>
    <w:rsid w:val="00762315"/>
    <w:rsid w:val="00AF19DA"/>
    <w:rsid w:val="00C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PCNPA</dc:creator>
  <cp:lastModifiedBy>PCNPA</cp:lastModifiedBy>
  <cp:revision>1</cp:revision>
  <dcterms:created xsi:type="dcterms:W3CDTF">2019-04-08T15:35:00Z</dcterms:created>
  <dcterms:modified xsi:type="dcterms:W3CDTF">2019-04-08T15:46:00Z</dcterms:modified>
</cp:coreProperties>
</file>